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_GBK" w:hAnsi="方正小标宋_GBK" w:eastAsia="方正小标宋_GBK" w:cs="方正小标宋_GBK"/>
        </w:rPr>
      </w:pPr>
      <w:bookmarkStart w:id="0" w:name="_Toc522726434"/>
      <w:r>
        <w:rPr>
          <w:rFonts w:ascii="方正小标宋_GBK" w:hAnsi="方正小标宋_GBK" w:eastAsia="方正小标宋_GBK" w:cs="方正小标宋_GBK"/>
        </w:rPr>
        <w:t>081</w:t>
      </w:r>
      <w:r>
        <w:rPr>
          <w:rFonts w:hint="eastAsia" w:ascii="方正小标宋_GBK" w:hAnsi="方正小标宋_GBK" w:eastAsia="方正小标宋_GBK" w:cs="方正小标宋_GBK"/>
        </w:rPr>
        <w:t>8Z5油气信息探测与仪器装备</w:t>
      </w:r>
      <w:r>
        <w:rPr>
          <w:rFonts w:ascii="方正小标宋_GBK" w:hAnsi="方正小标宋_GBK" w:eastAsia="方正小标宋_GBK" w:cs="方正小标宋_GBK"/>
        </w:rPr>
        <w:t>专业</w:t>
      </w:r>
    </w:p>
    <w:bookmarkEnd w:id="0"/>
    <w:p>
      <w:pPr>
        <w:spacing w:line="300" w:lineRule="auto"/>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博士研究生培养方案</w:t>
      </w:r>
    </w:p>
    <w:p>
      <w:pPr>
        <w:spacing w:line="300" w:lineRule="auto"/>
        <w:rPr>
          <w:rFonts w:ascii="黑体" w:hAnsi="黑体" w:eastAsia="黑体" w:cs="黑体"/>
          <w:color w:val="000000"/>
          <w:szCs w:val="21"/>
        </w:rPr>
      </w:pPr>
      <w:r>
        <w:rPr>
          <w:rFonts w:hint="eastAsia" w:ascii="黑体" w:hAnsi="黑体" w:eastAsia="黑体" w:cs="黑体"/>
          <w:color w:val="000000"/>
          <w:szCs w:val="21"/>
        </w:rPr>
        <w:t>一、培养目标</w:t>
      </w:r>
    </w:p>
    <w:p>
      <w:pPr>
        <w:spacing w:line="360" w:lineRule="exact"/>
        <w:ind w:firstLine="420" w:firstLineChars="200"/>
        <w:rPr>
          <w:rFonts w:ascii="仿宋" w:hAnsi="仿宋" w:eastAsia="仿宋" w:cs="仿宋"/>
          <w:szCs w:val="21"/>
        </w:rPr>
      </w:pPr>
      <w:r>
        <w:rPr>
          <w:rFonts w:ascii="仿宋" w:hAnsi="仿宋" w:eastAsia="仿宋" w:cs="仿宋"/>
          <w:szCs w:val="21"/>
        </w:rPr>
        <w:t>本专业培养德、智、体全面发展，能够在地质、石油工程等领域从事信息探测、处理和控制的理论、方法与技术研究、进行仪器装备研发的高级专门人才。本学科博士学位获得者应具有严谨求实的科学态度、勇于创新的工作作风和高尚的职业道德；具有坚实宽广的数理基础，掌握电子信息学科和地球探测学科的专业基础理论和方法；具有电子信息系统软硬件设计开发能力，了解并能把握本学科的前沿与发展方向，可独立承担和开展本学科前沿课题的研究，并做出创新性成果；具有组织实施重要科研项目的素质和严谨的学风；毕业后能胜任高等院校、科研院所的教学、科研或生产部门的技术与管理工作。</w:t>
      </w:r>
    </w:p>
    <w:p>
      <w:pPr>
        <w:snapToGrid w:val="0"/>
        <w:spacing w:line="300" w:lineRule="auto"/>
        <w:ind w:firstLine="420" w:firstLineChars="200"/>
        <w:rPr>
          <w:rFonts w:ascii="宋体" w:hAnsi="宋体" w:cs="宋体"/>
          <w:szCs w:val="21"/>
        </w:rPr>
      </w:pPr>
    </w:p>
    <w:p>
      <w:pPr>
        <w:numPr>
          <w:ilvl w:val="0"/>
          <w:numId w:val="1"/>
        </w:numPr>
        <w:spacing w:line="300" w:lineRule="auto"/>
        <w:rPr>
          <w:rFonts w:ascii="黑体" w:hAnsi="黑体" w:eastAsia="黑体" w:cs="黑体"/>
          <w:color w:val="000000"/>
          <w:szCs w:val="21"/>
        </w:rPr>
      </w:pPr>
      <w:r>
        <w:rPr>
          <w:rFonts w:hint="eastAsia" w:ascii="黑体" w:hAnsi="黑体" w:eastAsia="黑体" w:cs="黑体"/>
          <w:color w:val="000000"/>
          <w:szCs w:val="21"/>
        </w:rPr>
        <w:t>研究方向</w:t>
      </w:r>
    </w:p>
    <w:p>
      <w:pPr>
        <w:spacing w:line="288" w:lineRule="auto"/>
        <w:ind w:firstLine="420" w:firstLineChars="200"/>
        <w:rPr>
          <w:rFonts w:ascii="仿宋" w:hAnsi="仿宋" w:eastAsia="仿宋" w:cs="仿宋"/>
          <w:szCs w:val="21"/>
        </w:rPr>
      </w:pPr>
      <w:r>
        <w:rPr>
          <w:rFonts w:ascii="仿宋" w:hAnsi="仿宋" w:eastAsia="仿宋" w:cs="仿宋"/>
          <w:szCs w:val="21"/>
        </w:rPr>
        <w:t>1、电磁勘探方法与信息技术应用</w:t>
      </w:r>
    </w:p>
    <w:p>
      <w:pPr>
        <w:spacing w:line="288" w:lineRule="auto"/>
        <w:ind w:firstLine="420" w:firstLineChars="200"/>
        <w:rPr>
          <w:rFonts w:ascii="仿宋" w:hAnsi="仿宋" w:eastAsia="仿宋" w:cs="仿宋"/>
          <w:szCs w:val="21"/>
        </w:rPr>
      </w:pPr>
      <w:r>
        <w:rPr>
          <w:rFonts w:ascii="仿宋" w:hAnsi="仿宋" w:eastAsia="仿宋" w:cs="仿宋"/>
          <w:szCs w:val="21"/>
        </w:rPr>
        <w:t>2、油气探测信号与信息处理</w:t>
      </w:r>
    </w:p>
    <w:p>
      <w:pPr>
        <w:spacing w:line="288" w:lineRule="auto"/>
        <w:ind w:firstLine="420" w:firstLineChars="200"/>
        <w:rPr>
          <w:rFonts w:ascii="仿宋" w:hAnsi="仿宋" w:eastAsia="仿宋" w:cs="仿宋"/>
          <w:szCs w:val="21"/>
        </w:rPr>
      </w:pPr>
      <w:r>
        <w:rPr>
          <w:rFonts w:ascii="仿宋" w:hAnsi="仿宋" w:eastAsia="仿宋" w:cs="仿宋"/>
          <w:szCs w:val="21"/>
        </w:rPr>
        <w:t>3、油气信号检测方法与仪器研究</w:t>
      </w:r>
    </w:p>
    <w:p>
      <w:pPr>
        <w:spacing w:line="288" w:lineRule="auto"/>
        <w:ind w:firstLine="420" w:firstLineChars="200"/>
        <w:rPr>
          <w:rFonts w:ascii="仿宋" w:hAnsi="仿宋" w:eastAsia="仿宋" w:cs="仿宋"/>
          <w:szCs w:val="21"/>
        </w:rPr>
      </w:pPr>
      <w:r>
        <w:rPr>
          <w:rFonts w:ascii="仿宋" w:hAnsi="仿宋" w:eastAsia="仿宋" w:cs="仿宋"/>
          <w:szCs w:val="21"/>
        </w:rPr>
        <w:t>4、油田开发过程测控方法及装备研究</w:t>
      </w:r>
    </w:p>
    <w:p>
      <w:pPr>
        <w:snapToGrid w:val="0"/>
        <w:spacing w:line="300" w:lineRule="auto"/>
        <w:ind w:firstLine="420" w:firstLineChars="200"/>
        <w:rPr>
          <w:rFonts w:ascii="宋体" w:hAnsi="宋体" w:cs="宋体"/>
          <w:szCs w:val="21"/>
        </w:rPr>
      </w:pPr>
    </w:p>
    <w:p>
      <w:pPr>
        <w:numPr>
          <w:ilvl w:val="0"/>
          <w:numId w:val="1"/>
        </w:numPr>
        <w:spacing w:line="300" w:lineRule="auto"/>
        <w:rPr>
          <w:rFonts w:ascii="黑体" w:hAnsi="黑体" w:eastAsia="黑体" w:cs="黑体"/>
          <w:color w:val="000000"/>
          <w:szCs w:val="21"/>
        </w:rPr>
      </w:pPr>
      <w:r>
        <w:rPr>
          <w:rFonts w:hint="eastAsia" w:ascii="黑体" w:hAnsi="黑体" w:eastAsia="黑体" w:cs="黑体"/>
          <w:color w:val="000000"/>
          <w:szCs w:val="21"/>
        </w:rPr>
        <w:t>培养方式</w:t>
      </w:r>
    </w:p>
    <w:p>
      <w:pPr>
        <w:spacing w:line="288" w:lineRule="auto"/>
        <w:ind w:firstLine="420" w:firstLineChars="200"/>
        <w:rPr>
          <w:rFonts w:ascii="仿宋" w:hAnsi="仿宋" w:eastAsia="仿宋" w:cs="仿宋"/>
          <w:szCs w:val="21"/>
        </w:rPr>
      </w:pPr>
      <w:r>
        <w:rPr>
          <w:rFonts w:ascii="仿宋" w:hAnsi="仿宋" w:eastAsia="仿宋" w:cs="仿宋"/>
          <w:szCs w:val="21"/>
        </w:rPr>
        <w:t>1、博士生培养应以科学研究为主，重点是培养独立从事科学研究的能力，并根据培养方案的要求和个人特长，继续学习有关课程，在拓宽学科、专业面，扩展知识结构，加强理论联系实际，掌握学科前沿的基础上，学会进行创造性科学研究工作的方法和严谨的科学作风。</w:t>
      </w:r>
    </w:p>
    <w:p>
      <w:pPr>
        <w:spacing w:line="288" w:lineRule="auto"/>
        <w:ind w:firstLine="420" w:firstLineChars="200"/>
        <w:rPr>
          <w:rFonts w:ascii="仿宋" w:hAnsi="仿宋" w:eastAsia="仿宋" w:cs="仿宋"/>
          <w:szCs w:val="21"/>
        </w:rPr>
      </w:pPr>
      <w:r>
        <w:rPr>
          <w:rFonts w:ascii="仿宋" w:hAnsi="仿宋" w:eastAsia="仿宋" w:cs="仿宋"/>
          <w:szCs w:val="21"/>
        </w:rPr>
        <w:t>2、博士生培养实行导师负责制。采取由导师负责的以博士点学术梯队为主体的指导小组或聘请相关学科专家组成的指导小组联合指导的方式，全面负责博士生的课程学习、科学研究和思想教育。指导小组由导师提名，经院博士生指导领导小组审议通过后确定。</w:t>
      </w:r>
    </w:p>
    <w:p>
      <w:pPr>
        <w:spacing w:line="288" w:lineRule="auto"/>
        <w:ind w:firstLine="420" w:firstLineChars="200"/>
        <w:rPr>
          <w:rFonts w:ascii="仿宋" w:hAnsi="仿宋" w:eastAsia="仿宋" w:cs="仿宋"/>
          <w:szCs w:val="21"/>
        </w:rPr>
      </w:pPr>
      <w:r>
        <w:rPr>
          <w:rFonts w:ascii="仿宋" w:hAnsi="仿宋" w:eastAsia="仿宋" w:cs="仿宋"/>
          <w:szCs w:val="21"/>
        </w:rPr>
        <w:t>3、导师要根据培养方案的要求，结合博士生的基础和特长，在博士生入学三个月内制订出博士生的个人培养计划。培养计划是博士生进行课程学习、文献阅读、实践环节、科学研究、开题报告、学位论文工作等的详细计划。培养计划由院博士生指导领导小组及主管院长审批，报研究生学院备案执行。</w:t>
      </w:r>
    </w:p>
    <w:p>
      <w:pPr>
        <w:spacing w:line="288" w:lineRule="auto"/>
        <w:ind w:firstLine="420" w:firstLineChars="200"/>
        <w:rPr>
          <w:rFonts w:ascii="仿宋" w:hAnsi="仿宋" w:eastAsia="仿宋" w:cs="仿宋"/>
          <w:szCs w:val="21"/>
        </w:rPr>
      </w:pPr>
      <w:r>
        <w:rPr>
          <w:rFonts w:ascii="仿宋" w:hAnsi="仿宋" w:eastAsia="仿宋" w:cs="仿宋"/>
          <w:szCs w:val="21"/>
        </w:rPr>
        <w:t>4、博士生的课程学习主要安排在入学后的第一、二学期，并从入学开始就要进行文献阅读及论文开题的准备工作，第三学期完成学位论文开题。</w:t>
      </w:r>
    </w:p>
    <w:p>
      <w:pPr>
        <w:spacing w:line="288" w:lineRule="auto"/>
        <w:ind w:firstLine="420" w:firstLineChars="200"/>
        <w:rPr>
          <w:rFonts w:ascii="仿宋" w:hAnsi="仿宋" w:eastAsia="仿宋" w:cs="仿宋"/>
          <w:szCs w:val="21"/>
        </w:rPr>
      </w:pPr>
      <w:r>
        <w:rPr>
          <w:rFonts w:ascii="仿宋" w:hAnsi="仿宋" w:eastAsia="仿宋" w:cs="仿宋"/>
          <w:szCs w:val="21"/>
        </w:rPr>
        <w:t>5、指导教师和所在系应注重安排和帮助博士生参加国内外、院内外学术交流和参观学习，以了解国内外学术动态，开阔科学视野、活跃学术思想：并应积极举办学术研讨会、报告会等，为博士生提供更多的学习和交流机会。</w:t>
      </w:r>
    </w:p>
    <w:p>
      <w:pPr>
        <w:spacing w:line="288" w:lineRule="auto"/>
        <w:ind w:firstLine="420" w:firstLineChars="200"/>
        <w:rPr>
          <w:rFonts w:ascii="仿宋" w:hAnsi="仿宋" w:eastAsia="仿宋" w:cs="仿宋"/>
          <w:szCs w:val="21"/>
        </w:rPr>
      </w:pPr>
      <w:r>
        <w:rPr>
          <w:rFonts w:ascii="仿宋" w:hAnsi="仿宋" w:eastAsia="仿宋" w:cs="仿宋"/>
          <w:szCs w:val="21"/>
        </w:rPr>
        <w:t>6、指导教师和指导小组要重视对博士生的思想政治教育和道德品质教育，关心博士生的全面成长，严格要求，严谨治学，培养博士生具有良好的职业道德和团结协作、勇于拼搏的献身精神，做到既教书又育人。</w:t>
      </w:r>
    </w:p>
    <w:p>
      <w:pPr>
        <w:snapToGrid w:val="0"/>
        <w:spacing w:line="300" w:lineRule="auto"/>
        <w:ind w:firstLine="420" w:firstLineChars="200"/>
        <w:rPr>
          <w:rFonts w:ascii="宋体" w:hAnsi="宋体" w:cs="宋体"/>
          <w:szCs w:val="21"/>
        </w:rPr>
      </w:pPr>
    </w:p>
    <w:p>
      <w:pPr>
        <w:spacing w:line="360" w:lineRule="auto"/>
        <w:rPr>
          <w:rFonts w:ascii="黑体" w:hAnsi="黑体" w:eastAsia="黑体" w:cs="黑体"/>
          <w:color w:val="000000"/>
          <w:szCs w:val="21"/>
        </w:rPr>
      </w:pPr>
      <w:r>
        <w:rPr>
          <w:rFonts w:hint="eastAsia" w:ascii="黑体" w:hAnsi="黑体" w:eastAsia="黑体" w:cs="黑体"/>
          <w:color w:val="000000"/>
          <w:szCs w:val="21"/>
        </w:rPr>
        <w:t>四、学习年限</w:t>
      </w:r>
    </w:p>
    <w:p>
      <w:pPr>
        <w:snapToGrid w:val="0"/>
        <w:spacing w:line="380" w:lineRule="exact"/>
        <w:ind w:firstLine="420" w:firstLineChars="200"/>
        <w:rPr>
          <w:rFonts w:ascii="仿宋" w:hAnsi="仿宋" w:eastAsia="仿宋" w:cs="仿宋"/>
          <w:szCs w:val="21"/>
        </w:rPr>
      </w:pPr>
      <w:r>
        <w:rPr>
          <w:rFonts w:ascii="仿宋" w:hAnsi="仿宋" w:eastAsia="仿宋" w:cs="仿宋"/>
          <w:szCs w:val="21"/>
        </w:rPr>
        <w:t>全日制攻读博士学位的学习年限一般为3至4年，最长不超过8年。</w:t>
      </w:r>
    </w:p>
    <w:p>
      <w:pPr>
        <w:snapToGrid w:val="0"/>
        <w:spacing w:line="300" w:lineRule="auto"/>
        <w:ind w:firstLine="420" w:firstLineChars="200"/>
        <w:rPr>
          <w:rFonts w:ascii="宋体" w:hAnsi="宋体" w:cs="宋体"/>
          <w:szCs w:val="21"/>
        </w:rPr>
      </w:pPr>
    </w:p>
    <w:p>
      <w:pPr>
        <w:spacing w:line="300" w:lineRule="auto"/>
        <w:rPr>
          <w:rFonts w:ascii="黑体" w:hAnsi="黑体" w:eastAsia="黑体" w:cs="黑体"/>
          <w:color w:val="000000"/>
          <w:szCs w:val="21"/>
        </w:rPr>
      </w:pPr>
      <w:r>
        <w:rPr>
          <w:rFonts w:hint="eastAsia" w:ascii="黑体" w:hAnsi="黑体" w:eastAsia="黑体" w:cs="黑体"/>
          <w:color w:val="000000"/>
          <w:szCs w:val="21"/>
        </w:rPr>
        <w:t>五、课程设置及学分要求</w:t>
      </w:r>
    </w:p>
    <w:p>
      <w:pPr>
        <w:spacing w:line="288" w:lineRule="auto"/>
        <w:ind w:firstLine="420" w:firstLineChars="200"/>
        <w:rPr>
          <w:rFonts w:ascii="仿宋" w:hAnsi="仿宋" w:eastAsia="仿宋" w:cs="仿宋"/>
          <w:szCs w:val="21"/>
        </w:rPr>
      </w:pPr>
      <w:r>
        <w:rPr>
          <w:rFonts w:ascii="仿宋" w:hAnsi="仿宋" w:eastAsia="仿宋" w:cs="仿宋"/>
          <w:szCs w:val="21"/>
        </w:rPr>
        <w:t>学术</w:t>
      </w:r>
      <w:r>
        <w:rPr>
          <w:rFonts w:hint="eastAsia" w:ascii="仿宋" w:hAnsi="仿宋" w:eastAsia="仿宋" w:cs="仿宋"/>
          <w:szCs w:val="21"/>
        </w:rPr>
        <w:t>学位博士</w:t>
      </w:r>
      <w:r>
        <w:rPr>
          <w:rFonts w:ascii="仿宋" w:hAnsi="仿宋" w:eastAsia="仿宋" w:cs="仿宋"/>
          <w:szCs w:val="21"/>
        </w:rPr>
        <w:t>毕业时总学分不低于</w:t>
      </w:r>
      <w:r>
        <w:rPr>
          <w:rFonts w:hint="eastAsia" w:ascii="仿宋" w:hAnsi="仿宋" w:eastAsia="仿宋" w:cs="仿宋"/>
          <w:szCs w:val="21"/>
        </w:rPr>
        <w:t>24学分，其中，课程学分不低于12学分</w:t>
      </w:r>
      <w:r>
        <w:rPr>
          <w:rFonts w:ascii="仿宋" w:hAnsi="仿宋" w:eastAsia="仿宋" w:cs="仿宋"/>
          <w:szCs w:val="21"/>
        </w:rPr>
        <w:t>，包括</w:t>
      </w:r>
      <w:r>
        <w:rPr>
          <w:rFonts w:hint="eastAsia" w:ascii="仿宋" w:hAnsi="仿宋" w:eastAsia="仿宋" w:cs="仿宋"/>
          <w:szCs w:val="21"/>
        </w:rPr>
        <w:t>，</w:t>
      </w:r>
      <w:r>
        <w:rPr>
          <w:rFonts w:ascii="仿宋" w:hAnsi="仿宋" w:eastAsia="仿宋" w:cs="仿宋"/>
          <w:szCs w:val="21"/>
        </w:rPr>
        <w:t>学位课</w:t>
      </w:r>
      <w:r>
        <w:rPr>
          <w:rFonts w:hint="eastAsia" w:ascii="仿宋" w:hAnsi="仿宋" w:eastAsia="仿宋" w:cs="仿宋"/>
          <w:szCs w:val="21"/>
        </w:rPr>
        <w:t>8</w:t>
      </w:r>
      <w:r>
        <w:rPr>
          <w:rFonts w:ascii="仿宋" w:hAnsi="仿宋" w:eastAsia="仿宋" w:cs="仿宋"/>
          <w:szCs w:val="21"/>
        </w:rPr>
        <w:t>学分，</w:t>
      </w:r>
      <w:r>
        <w:rPr>
          <w:rFonts w:hint="eastAsia" w:ascii="仿宋" w:hAnsi="仿宋" w:eastAsia="仿宋" w:cs="仿宋"/>
          <w:szCs w:val="21"/>
        </w:rPr>
        <w:t>非学位课</w:t>
      </w:r>
      <w:r>
        <w:rPr>
          <w:rFonts w:ascii="仿宋" w:hAnsi="仿宋" w:eastAsia="仿宋" w:cs="仿宋"/>
          <w:szCs w:val="21"/>
        </w:rPr>
        <w:t>不低于</w:t>
      </w:r>
      <w:r>
        <w:rPr>
          <w:rFonts w:hint="eastAsia" w:ascii="仿宋" w:hAnsi="仿宋" w:eastAsia="仿宋" w:cs="仿宋"/>
          <w:szCs w:val="21"/>
        </w:rPr>
        <w:t>4</w:t>
      </w:r>
      <w:r>
        <w:rPr>
          <w:rFonts w:ascii="仿宋" w:hAnsi="仿宋" w:eastAsia="仿宋" w:cs="仿宋"/>
          <w:szCs w:val="21"/>
        </w:rPr>
        <w:t>学分</w:t>
      </w:r>
      <w:r>
        <w:rPr>
          <w:rFonts w:hint="eastAsia" w:ascii="仿宋" w:hAnsi="仿宋" w:eastAsia="仿宋" w:cs="仿宋"/>
          <w:szCs w:val="21"/>
        </w:rPr>
        <w:t>；</w:t>
      </w:r>
      <w:r>
        <w:rPr>
          <w:rFonts w:ascii="仿宋" w:hAnsi="仿宋" w:eastAsia="仿宋" w:cs="仿宋"/>
          <w:szCs w:val="21"/>
        </w:rPr>
        <w:t>研究环节</w:t>
      </w:r>
      <w:r>
        <w:rPr>
          <w:rFonts w:hint="eastAsia" w:ascii="仿宋" w:hAnsi="仿宋" w:eastAsia="仿宋" w:cs="仿宋"/>
          <w:szCs w:val="21"/>
        </w:rPr>
        <w:t>12学分</w:t>
      </w:r>
      <w:r>
        <w:rPr>
          <w:rFonts w:ascii="仿宋" w:hAnsi="仿宋" w:eastAsia="仿宋" w:cs="仿宋"/>
          <w:szCs w:val="21"/>
        </w:rPr>
        <w:t>。</w:t>
      </w:r>
    </w:p>
    <w:p>
      <w:pPr>
        <w:spacing w:line="288" w:lineRule="auto"/>
        <w:ind w:firstLine="420" w:firstLineChars="200"/>
        <w:rPr>
          <w:rFonts w:ascii="仿宋" w:hAnsi="仿宋" w:eastAsia="仿宋" w:cs="仿宋"/>
          <w:szCs w:val="21"/>
        </w:rPr>
      </w:pPr>
      <w:r>
        <w:rPr>
          <w:rFonts w:ascii="仿宋" w:hAnsi="仿宋" w:eastAsia="仿宋" w:cs="仿宋"/>
          <w:szCs w:val="21"/>
        </w:rPr>
        <w:t>课程设置及学分见附表。</w:t>
      </w:r>
    </w:p>
    <w:p>
      <w:pPr>
        <w:snapToGrid w:val="0"/>
        <w:spacing w:line="300" w:lineRule="auto"/>
        <w:ind w:firstLine="420" w:firstLineChars="200"/>
        <w:rPr>
          <w:rFonts w:ascii="宋体" w:hAnsi="宋体" w:cs="宋体"/>
          <w:szCs w:val="21"/>
        </w:rPr>
      </w:pPr>
    </w:p>
    <w:p>
      <w:pPr>
        <w:spacing w:line="300" w:lineRule="auto"/>
        <w:rPr>
          <w:rFonts w:ascii="黑体" w:hAnsi="黑体" w:eastAsia="黑体" w:cs="黑体"/>
          <w:color w:val="000000"/>
          <w:szCs w:val="21"/>
        </w:rPr>
      </w:pPr>
      <w:r>
        <w:rPr>
          <w:rFonts w:hint="eastAsia" w:ascii="黑体" w:hAnsi="黑体" w:eastAsia="黑体" w:cs="黑体"/>
          <w:color w:val="000000"/>
          <w:szCs w:val="21"/>
        </w:rPr>
        <w:t>六、研究环节</w:t>
      </w:r>
    </w:p>
    <w:p>
      <w:pPr>
        <w:snapToGrid w:val="0"/>
        <w:spacing w:line="300" w:lineRule="auto"/>
        <w:rPr>
          <w:rFonts w:hint="eastAsia" w:ascii="仿宋" w:hAnsi="仿宋" w:eastAsia="仿宋" w:cs="仿宋"/>
          <w:szCs w:val="21"/>
        </w:rPr>
      </w:pPr>
      <w:r>
        <w:rPr>
          <w:rFonts w:hint="eastAsia" w:ascii="仿宋" w:hAnsi="仿宋" w:eastAsia="仿宋" w:cs="仿宋"/>
          <w:szCs w:val="21"/>
        </w:rPr>
        <w:t>1.开题报告：1学分</w:t>
      </w:r>
    </w:p>
    <w:p>
      <w:pPr>
        <w:snapToGrid w:val="0"/>
        <w:spacing w:line="30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学位论文应该在导师指导下由博士生本人独立完成。参加并通过由学院组织的开题报告答辩，学位论文开题答辩与学位论文毕业答辩间隔时间，正常毕业或延迟毕业的不得少于18个月。提前答辩的，不得少于20个月。</w:t>
      </w:r>
    </w:p>
    <w:p>
      <w:pPr>
        <w:snapToGrid w:val="0"/>
        <w:spacing w:line="300" w:lineRule="auto"/>
        <w:rPr>
          <w:rFonts w:ascii="仿宋" w:hAnsi="仿宋" w:eastAsia="仿宋" w:cs="仿宋"/>
          <w:szCs w:val="21"/>
        </w:rPr>
      </w:pPr>
      <w:r>
        <w:rPr>
          <w:rFonts w:hint="eastAsia" w:ascii="仿宋" w:hAnsi="仿宋" w:eastAsia="仿宋" w:cs="仿宋"/>
          <w:szCs w:val="21"/>
        </w:rPr>
        <w:t>2.学术交流</w:t>
      </w:r>
    </w:p>
    <w:p>
      <w:pPr>
        <w:snapToGrid w:val="0"/>
        <w:spacing w:line="30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博士生在校期间应积极参加本学科的学术研讨活动，其中做学术报告2次（0.5学分，含1次英文报告），参加学术研讨5次以上（0.5学分）；参加本学科领域重要的学术会议2次以上（1学分）。</w:t>
      </w:r>
    </w:p>
    <w:p>
      <w:pPr>
        <w:snapToGrid w:val="0"/>
        <w:spacing w:line="30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博士研究生需向学院提交经导师签字认可的《长江大学博士研究生学术活动考核登记本》，于学位论文答辩申请前提交学院，方可取得学术活动学分。</w:t>
      </w:r>
    </w:p>
    <w:p>
      <w:pPr>
        <w:snapToGrid w:val="0"/>
        <w:spacing w:line="300" w:lineRule="auto"/>
        <w:rPr>
          <w:rFonts w:ascii="仿宋" w:hAnsi="仿宋" w:eastAsia="仿宋" w:cs="仿宋"/>
          <w:szCs w:val="21"/>
        </w:rPr>
      </w:pPr>
      <w:r>
        <w:rPr>
          <w:rFonts w:hint="eastAsia" w:ascii="仿宋" w:hAnsi="仿宋" w:eastAsia="仿宋" w:cs="仿宋"/>
          <w:szCs w:val="21"/>
        </w:rPr>
        <w:t>3.论文中期进展报告及考核</w:t>
      </w:r>
    </w:p>
    <w:p>
      <w:pPr>
        <w:snapToGrid w:val="0"/>
        <w:spacing w:line="300" w:lineRule="auto"/>
        <w:ind w:firstLine="210" w:firstLineChars="100"/>
        <w:rPr>
          <w:rFonts w:ascii="仿宋" w:hAnsi="仿宋" w:eastAsia="仿宋" w:cs="仿宋"/>
          <w:szCs w:val="21"/>
        </w:rPr>
      </w:pPr>
      <w:r>
        <w:rPr>
          <w:rFonts w:hint="eastAsia" w:ascii="仿宋" w:hAnsi="仿宋" w:eastAsia="仿宋" w:cs="仿宋"/>
          <w:szCs w:val="21"/>
          <w:lang w:eastAsia="zh-CN"/>
        </w:rPr>
        <w:t>博士</w:t>
      </w:r>
      <w:r>
        <w:rPr>
          <w:rFonts w:hint="eastAsia" w:ascii="仿宋" w:hAnsi="仿宋" w:eastAsia="仿宋" w:cs="仿宋"/>
          <w:szCs w:val="21"/>
        </w:rPr>
        <w:t>在</w:t>
      </w:r>
      <w:r>
        <w:rPr>
          <w:rFonts w:hint="eastAsia" w:ascii="仿宋" w:hAnsi="仿宋" w:eastAsia="仿宋" w:cs="仿宋"/>
          <w:szCs w:val="21"/>
          <w:lang w:val="en-US" w:eastAsia="zh-CN"/>
        </w:rPr>
        <w:t>2</w:t>
      </w:r>
      <w:r>
        <w:rPr>
          <w:rFonts w:hint="eastAsia" w:ascii="仿宋" w:hAnsi="仿宋" w:eastAsia="仿宋" w:cs="仿宋"/>
          <w:szCs w:val="21"/>
        </w:rPr>
        <w:t xml:space="preserve">年级上学期期中教学检查之前，做好论文中期进展报告，学院审核通过后获得1个学分。  </w:t>
      </w:r>
    </w:p>
    <w:p>
      <w:pPr>
        <w:snapToGrid w:val="0"/>
        <w:spacing w:line="300" w:lineRule="auto"/>
        <w:rPr>
          <w:rFonts w:ascii="仿宋" w:hAnsi="仿宋" w:eastAsia="仿宋" w:cs="仿宋"/>
          <w:szCs w:val="21"/>
        </w:rPr>
      </w:pPr>
      <w:r>
        <w:rPr>
          <w:rFonts w:hint="eastAsia" w:ascii="仿宋" w:hAnsi="仿宋" w:eastAsia="仿宋" w:cs="仿宋"/>
          <w:szCs w:val="21"/>
        </w:rPr>
        <w:t>4.学位论文</w:t>
      </w:r>
    </w:p>
    <w:p>
      <w:pPr>
        <w:snapToGrid w:val="0"/>
        <w:spacing w:line="300" w:lineRule="auto"/>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lang w:eastAsia="zh-CN"/>
        </w:rPr>
        <w:t>博士</w:t>
      </w:r>
      <w:r>
        <w:rPr>
          <w:rFonts w:hint="eastAsia" w:ascii="仿宋" w:hAnsi="仿宋" w:eastAsia="仿宋" w:cs="仿宋"/>
          <w:szCs w:val="21"/>
        </w:rPr>
        <w:t>在</w:t>
      </w:r>
      <w:r>
        <w:rPr>
          <w:rFonts w:hint="eastAsia" w:ascii="仿宋" w:hAnsi="仿宋" w:eastAsia="仿宋" w:cs="仿宋"/>
          <w:szCs w:val="21"/>
          <w:lang w:val="en-US" w:eastAsia="zh-CN"/>
        </w:rPr>
        <w:t>2</w:t>
      </w:r>
      <w:r>
        <w:rPr>
          <w:rFonts w:hint="eastAsia" w:ascii="仿宋" w:hAnsi="仿宋" w:eastAsia="仿宋" w:cs="仿宋"/>
          <w:szCs w:val="21"/>
        </w:rPr>
        <w:t>年级下学期期中教学检查之后毕业之前，做好论文的撰写、答辩过程，学院审核通过后获得</w:t>
      </w:r>
      <w:r>
        <w:rPr>
          <w:rFonts w:hint="eastAsia" w:ascii="仿宋" w:hAnsi="仿宋" w:eastAsia="仿宋" w:cs="仿宋"/>
          <w:szCs w:val="21"/>
          <w:lang w:val="en-US" w:eastAsia="zh-CN"/>
        </w:rPr>
        <w:t>8</w:t>
      </w:r>
      <w:r>
        <w:rPr>
          <w:rFonts w:hint="eastAsia" w:ascii="仿宋" w:hAnsi="仿宋" w:eastAsia="仿宋" w:cs="仿宋"/>
          <w:szCs w:val="21"/>
        </w:rPr>
        <w:t>个学分。</w:t>
      </w:r>
    </w:p>
    <w:p>
      <w:pPr>
        <w:numPr>
          <w:ilvl w:val="0"/>
          <w:numId w:val="0"/>
        </w:numPr>
        <w:snapToGrid w:val="0"/>
        <w:spacing w:line="300" w:lineRule="auto"/>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p>
    <w:p>
      <w:pPr>
        <w:snapToGrid w:val="0"/>
        <w:spacing w:line="300" w:lineRule="auto"/>
        <w:rPr>
          <w:rFonts w:ascii="仿宋" w:hAnsi="仿宋" w:eastAsia="仿宋" w:cs="仿宋"/>
          <w:szCs w:val="21"/>
        </w:rPr>
      </w:pPr>
    </w:p>
    <w:p>
      <w:pPr>
        <w:spacing w:line="300" w:lineRule="auto"/>
        <w:rPr>
          <w:rFonts w:ascii="黑体" w:hAnsi="黑体" w:eastAsia="黑体" w:cs="黑体"/>
          <w:color w:val="000000"/>
          <w:szCs w:val="21"/>
        </w:rPr>
      </w:pPr>
      <w:r>
        <w:rPr>
          <w:rFonts w:hint="eastAsia" w:ascii="黑体" w:hAnsi="黑体" w:eastAsia="黑体" w:cs="黑体"/>
          <w:color w:val="000000"/>
          <w:szCs w:val="21"/>
        </w:rPr>
        <w:t>七、学位授予</w:t>
      </w:r>
    </w:p>
    <w:p>
      <w:pPr>
        <w:snapToGrid w:val="0"/>
        <w:spacing w:line="300" w:lineRule="auto"/>
        <w:ind w:firstLine="210" w:firstLineChars="100"/>
        <w:rPr>
          <w:rFonts w:ascii="仿宋" w:hAnsi="仿宋" w:eastAsia="仿宋" w:cs="仿宋"/>
          <w:szCs w:val="21"/>
        </w:rPr>
      </w:pPr>
      <w:r>
        <w:rPr>
          <w:rFonts w:ascii="仿宋" w:hAnsi="仿宋" w:eastAsia="仿宋" w:cs="仿宋"/>
          <w:szCs w:val="21"/>
        </w:rPr>
        <w:t>修满学分</w:t>
      </w:r>
      <w:r>
        <w:rPr>
          <w:rFonts w:hint="eastAsia" w:ascii="仿宋" w:hAnsi="仿宋" w:eastAsia="仿宋" w:cs="仿宋"/>
          <w:szCs w:val="21"/>
        </w:rPr>
        <w:t>，</w:t>
      </w:r>
      <w:r>
        <w:rPr>
          <w:rFonts w:ascii="仿宋" w:hAnsi="仿宋" w:eastAsia="仿宋" w:cs="仿宋"/>
          <w:szCs w:val="21"/>
        </w:rPr>
        <w:t>并满足学校博士学位授予的条件</w:t>
      </w:r>
      <w:r>
        <w:rPr>
          <w:rFonts w:hint="eastAsia" w:ascii="仿宋" w:hAnsi="仿宋" w:eastAsia="仿宋" w:cs="仿宋"/>
          <w:szCs w:val="21"/>
        </w:rPr>
        <w:t>，</w:t>
      </w:r>
      <w:r>
        <w:rPr>
          <w:rFonts w:ascii="仿宋" w:hAnsi="仿宋" w:eastAsia="仿宋" w:cs="仿宋"/>
          <w:szCs w:val="21"/>
        </w:rPr>
        <w:t>经校学位评定委员会审核通过</w:t>
      </w:r>
      <w:r>
        <w:rPr>
          <w:rFonts w:hint="eastAsia" w:ascii="仿宋" w:hAnsi="仿宋" w:eastAsia="仿宋" w:cs="仿宋"/>
          <w:szCs w:val="21"/>
        </w:rPr>
        <w:t>，</w:t>
      </w:r>
      <w:r>
        <w:rPr>
          <w:rFonts w:ascii="仿宋" w:hAnsi="仿宋" w:eastAsia="仿宋" w:cs="仿宋"/>
          <w:szCs w:val="21"/>
        </w:rPr>
        <w:t>授予工学博士学位</w:t>
      </w:r>
      <w:r>
        <w:rPr>
          <w:rFonts w:hint="eastAsia" w:ascii="仿宋" w:hAnsi="仿宋" w:eastAsia="仿宋" w:cs="仿宋"/>
          <w:szCs w:val="21"/>
        </w:rPr>
        <w:t>。</w:t>
      </w:r>
    </w:p>
    <w:p>
      <w:pPr>
        <w:snapToGrid w:val="0"/>
        <w:spacing w:line="300" w:lineRule="auto"/>
        <w:ind w:firstLine="210" w:firstLineChars="100"/>
        <w:rPr>
          <w:rFonts w:ascii="仿宋" w:hAnsi="仿宋" w:eastAsia="仿宋" w:cs="仿宋"/>
          <w:szCs w:val="21"/>
        </w:rPr>
      </w:pPr>
    </w:p>
    <w:p>
      <w:pPr>
        <w:snapToGrid w:val="0"/>
        <w:spacing w:line="300" w:lineRule="auto"/>
        <w:ind w:firstLine="210" w:firstLineChars="100"/>
        <w:rPr>
          <w:rFonts w:ascii="仿宋" w:hAnsi="仿宋" w:eastAsia="仿宋" w:cs="仿宋"/>
          <w:szCs w:val="21"/>
        </w:rPr>
      </w:pPr>
    </w:p>
    <w:p>
      <w:pPr>
        <w:snapToGrid w:val="0"/>
        <w:spacing w:line="300" w:lineRule="auto"/>
        <w:ind w:firstLine="210" w:firstLineChars="100"/>
        <w:rPr>
          <w:rFonts w:ascii="仿宋" w:hAnsi="仿宋" w:eastAsia="仿宋" w:cs="仿宋"/>
          <w:szCs w:val="21"/>
        </w:rPr>
      </w:pPr>
    </w:p>
    <w:p>
      <w:pPr>
        <w:snapToGrid w:val="0"/>
        <w:spacing w:line="300" w:lineRule="auto"/>
        <w:rPr>
          <w:rFonts w:ascii="仿宋" w:hAnsi="仿宋" w:eastAsia="仿宋" w:cs="仿宋"/>
          <w:szCs w:val="21"/>
        </w:rPr>
      </w:pPr>
    </w:p>
    <w:p>
      <w:pPr>
        <w:snapToGrid w:val="0"/>
        <w:spacing w:line="300" w:lineRule="auto"/>
        <w:ind w:firstLine="210" w:firstLineChars="100"/>
        <w:rPr>
          <w:rFonts w:ascii="仿宋" w:hAnsi="仿宋" w:eastAsia="仿宋" w:cs="仿宋"/>
          <w:szCs w:val="21"/>
        </w:rPr>
      </w:pPr>
    </w:p>
    <w:p>
      <w:pPr>
        <w:snapToGrid w:val="0"/>
        <w:spacing w:line="300" w:lineRule="auto"/>
        <w:ind w:firstLine="210" w:firstLineChars="100"/>
        <w:rPr>
          <w:rFonts w:ascii="仿宋" w:hAnsi="仿宋" w:eastAsia="仿宋" w:cs="仿宋"/>
          <w:szCs w:val="21"/>
        </w:rPr>
      </w:pPr>
    </w:p>
    <w:p>
      <w:pPr>
        <w:jc w:val="left"/>
        <w:rPr>
          <w:rFonts w:hint="eastAsia" w:ascii="宋体" w:hAnsi="宋体" w:eastAsia="宋体" w:cs="宋体"/>
          <w:b w:val="0"/>
          <w:bCs/>
          <w:sz w:val="21"/>
          <w:szCs w:val="21"/>
        </w:rPr>
      </w:pPr>
      <w:r>
        <w:rPr>
          <w:rFonts w:hint="eastAsia" w:ascii="宋体" w:hAnsi="宋体" w:eastAsia="宋体" w:cs="宋体"/>
          <w:b w:val="0"/>
          <w:bCs/>
          <w:sz w:val="21"/>
          <w:szCs w:val="21"/>
          <w:lang w:eastAsia="zh-CN"/>
        </w:rPr>
        <w:t>附表：</w:t>
      </w:r>
      <w:r>
        <w:rPr>
          <w:rFonts w:hint="eastAsia" w:ascii="宋体" w:hAnsi="宋体" w:eastAsia="宋体" w:cs="宋体"/>
          <w:b w:val="0"/>
          <w:bCs/>
          <w:sz w:val="21"/>
          <w:szCs w:val="21"/>
        </w:rPr>
        <w:t xml:space="preserve">0818Z5油气信息探测与仪器装备专业学术学位博士研究生课程设置一览表   </w:t>
      </w:r>
    </w:p>
    <w:p>
      <w:pPr>
        <w:jc w:val="left"/>
        <w:rPr>
          <w:rFonts w:hint="eastAsia" w:ascii="宋体" w:hAnsi="宋体" w:eastAsia="宋体" w:cs="宋体"/>
          <w:b w:val="0"/>
          <w:bCs/>
          <w:sz w:val="21"/>
          <w:szCs w:val="21"/>
        </w:rPr>
      </w:pPr>
    </w:p>
    <w:tbl>
      <w:tblPr>
        <w:tblStyle w:val="6"/>
        <w:tblW w:w="9099" w:type="dxa"/>
        <w:tblInd w:w="-284" w:type="dxa"/>
        <w:tblLayout w:type="fixed"/>
        <w:tblCellMar>
          <w:top w:w="0" w:type="dxa"/>
          <w:left w:w="108" w:type="dxa"/>
          <w:bottom w:w="0" w:type="dxa"/>
          <w:right w:w="108" w:type="dxa"/>
        </w:tblCellMar>
      </w:tblPr>
      <w:tblGrid>
        <w:gridCol w:w="1050"/>
        <w:gridCol w:w="1327"/>
        <w:gridCol w:w="2268"/>
        <w:gridCol w:w="649"/>
        <w:gridCol w:w="649"/>
        <w:gridCol w:w="650"/>
        <w:gridCol w:w="1737"/>
        <w:gridCol w:w="769"/>
      </w:tblGrid>
      <w:tr>
        <w:tblPrEx>
          <w:tblCellMar>
            <w:top w:w="0" w:type="dxa"/>
            <w:left w:w="108" w:type="dxa"/>
            <w:bottom w:w="0" w:type="dxa"/>
            <w:right w:w="108" w:type="dxa"/>
          </w:tblCellMar>
        </w:tblPrEx>
        <w:trPr>
          <w:trHeight w:val="960" w:hRule="atLeast"/>
        </w:trPr>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类别</w:t>
            </w:r>
          </w:p>
        </w:tc>
        <w:tc>
          <w:tcPr>
            <w:tcW w:w="13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课程性质</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课程名称</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学时</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学分</w:t>
            </w:r>
          </w:p>
        </w:tc>
        <w:tc>
          <w:tcPr>
            <w:tcW w:w="6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开课学期</w:t>
            </w:r>
          </w:p>
        </w:tc>
        <w:tc>
          <w:tcPr>
            <w:tcW w:w="1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开课学院</w:t>
            </w:r>
          </w:p>
        </w:tc>
        <w:tc>
          <w:tcPr>
            <w:tcW w:w="7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499" w:hRule="atLeast"/>
        </w:trPr>
        <w:tc>
          <w:tcPr>
            <w:tcW w:w="10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学位课</w:t>
            </w:r>
          </w:p>
        </w:tc>
        <w:tc>
          <w:tcPr>
            <w:tcW w:w="13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公共学位课</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中国马克思主义与当代</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马克思主义学院</w:t>
            </w:r>
          </w:p>
        </w:tc>
        <w:tc>
          <w:tcPr>
            <w:tcW w:w="769" w:type="dxa"/>
            <w:vMerge w:val="restart"/>
            <w:tcBorders>
              <w:top w:val="nil"/>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必修</w:t>
            </w: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博士英语</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外国语学院</w:t>
            </w:r>
          </w:p>
        </w:tc>
        <w:tc>
          <w:tcPr>
            <w:tcW w:w="769" w:type="dxa"/>
            <w:vMerge w:val="continue"/>
            <w:tcBorders>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专业学位课</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0"/>
                <w:szCs w:val="20"/>
              </w:rPr>
            </w:pPr>
            <w:r>
              <w:rPr>
                <w:rFonts w:ascii="宋体" w:hAnsi="宋体" w:cs="宋体"/>
                <w:color w:val="FF0000"/>
                <w:kern w:val="0"/>
                <w:sz w:val="20"/>
                <w:szCs w:val="20"/>
              </w:rPr>
              <w:t>模式识别与智能控制</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0"/>
                <w:szCs w:val="20"/>
                <w:lang w:eastAsia="zh-CN"/>
              </w:rPr>
            </w:pPr>
            <w:r>
              <w:rPr>
                <w:rFonts w:hint="eastAsia" w:ascii="宋体" w:hAnsi="宋体" w:cs="宋体"/>
                <w:color w:val="FF0000"/>
                <w:kern w:val="0"/>
                <w:sz w:val="20"/>
                <w:szCs w:val="20"/>
                <w:lang w:val="en-US" w:eastAsia="zh-CN"/>
              </w:rPr>
              <w:t>2</w:t>
            </w:r>
            <w:bookmarkStart w:id="1" w:name="_GoBack"/>
            <w:bookmarkEnd w:id="1"/>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0"/>
                <w:szCs w:val="20"/>
              </w:rPr>
            </w:pPr>
            <w:r>
              <w:rPr>
                <w:color w:val="FF0000"/>
                <w:sz w:val="20"/>
                <w:szCs w:val="20"/>
              </w:rPr>
              <w:t>电</w:t>
            </w:r>
            <w:r>
              <w:rPr>
                <w:rFonts w:hint="eastAsia"/>
                <w:color w:val="FF0000"/>
                <w:sz w:val="20"/>
                <w:szCs w:val="20"/>
              </w:rPr>
              <w:t>子</w:t>
            </w:r>
            <w:r>
              <w:rPr>
                <w:color w:val="FF0000"/>
                <w:sz w:val="20"/>
                <w:szCs w:val="20"/>
              </w:rPr>
              <w:t>信</w:t>
            </w:r>
            <w:r>
              <w:rPr>
                <w:rFonts w:hint="eastAsia"/>
                <w:color w:val="FF0000"/>
                <w:sz w:val="20"/>
                <w:szCs w:val="20"/>
              </w:rPr>
              <w:t>息</w:t>
            </w:r>
            <w:r>
              <w:rPr>
                <w:color w:val="FF0000"/>
                <w:sz w:val="20"/>
                <w:szCs w:val="20"/>
              </w:rPr>
              <w:t>学院</w:t>
            </w:r>
          </w:p>
        </w:tc>
        <w:tc>
          <w:tcPr>
            <w:tcW w:w="769" w:type="dxa"/>
            <w:vMerge w:val="continue"/>
            <w:tcBorders>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非平稳信号处理</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color w:val="000000"/>
                <w:sz w:val="20"/>
                <w:szCs w:val="20"/>
              </w:rPr>
              <w:t>电</w:t>
            </w:r>
            <w:r>
              <w:rPr>
                <w:rFonts w:hint="eastAsia"/>
                <w:color w:val="000000"/>
                <w:sz w:val="20"/>
                <w:szCs w:val="20"/>
              </w:rPr>
              <w:t>子</w:t>
            </w:r>
            <w:r>
              <w:rPr>
                <w:color w:val="000000"/>
                <w:sz w:val="20"/>
                <w:szCs w:val="20"/>
              </w:rPr>
              <w:t>信</w:t>
            </w:r>
            <w:r>
              <w:rPr>
                <w:rFonts w:hint="eastAsia"/>
                <w:color w:val="000000"/>
                <w:sz w:val="20"/>
                <w:szCs w:val="20"/>
              </w:rPr>
              <w:t>息</w:t>
            </w:r>
            <w:r>
              <w:rPr>
                <w:color w:val="000000"/>
                <w:sz w:val="20"/>
                <w:szCs w:val="20"/>
              </w:rPr>
              <w:t>学院</w:t>
            </w:r>
          </w:p>
        </w:tc>
        <w:tc>
          <w:tcPr>
            <w:tcW w:w="769"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非学位课</w:t>
            </w:r>
          </w:p>
        </w:tc>
        <w:tc>
          <w:tcPr>
            <w:tcW w:w="13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专业选修课</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0"/>
                <w:szCs w:val="20"/>
              </w:rPr>
            </w:pPr>
            <w:r>
              <w:rPr>
                <w:rFonts w:ascii="宋体" w:hAnsi="宋体" w:cs="宋体"/>
                <w:color w:val="FF0000"/>
                <w:kern w:val="0"/>
                <w:sz w:val="20"/>
                <w:szCs w:val="20"/>
              </w:rPr>
              <w:t>数学物理方程</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2</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0"/>
                <w:szCs w:val="20"/>
              </w:rPr>
            </w:pPr>
            <w:r>
              <w:rPr>
                <w:rFonts w:ascii="宋体" w:hAnsi="宋体" w:cs="宋体"/>
                <w:color w:val="FF0000"/>
                <w:kern w:val="0"/>
                <w:sz w:val="20"/>
                <w:szCs w:val="20"/>
              </w:rPr>
              <w:t>信息与数学学院</w:t>
            </w:r>
          </w:p>
        </w:tc>
        <w:tc>
          <w:tcPr>
            <w:tcW w:w="769" w:type="dxa"/>
            <w:vMerge w:val="restart"/>
            <w:tcBorders>
              <w:top w:val="nil"/>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至少</w:t>
            </w:r>
            <w:r>
              <w:rPr>
                <w:rFonts w:hint="eastAsia" w:ascii="宋体" w:hAnsi="宋体" w:cs="宋体"/>
                <w:color w:val="000000"/>
                <w:kern w:val="0"/>
                <w:sz w:val="20"/>
                <w:szCs w:val="20"/>
              </w:rPr>
              <w:t>4学分</w:t>
            </w: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有限元方法与应用</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地球物理与石油资源学院</w:t>
            </w:r>
          </w:p>
        </w:tc>
        <w:tc>
          <w:tcPr>
            <w:tcW w:w="769" w:type="dxa"/>
            <w:vMerge w:val="continue"/>
            <w:tcBorders>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地球物理测井新方法</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ascii="宋体" w:hAnsi="宋体" w:cs="宋体"/>
                <w:color w:val="000000"/>
                <w:kern w:val="0"/>
                <w:sz w:val="20"/>
                <w:szCs w:val="20"/>
              </w:rPr>
              <w:t>地球物理与石油资源学院</w:t>
            </w:r>
          </w:p>
        </w:tc>
        <w:tc>
          <w:tcPr>
            <w:tcW w:w="769" w:type="dxa"/>
            <w:vMerge w:val="continue"/>
            <w:tcBorders>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0"/>
                <w:szCs w:val="20"/>
              </w:rPr>
            </w:pPr>
            <w:r>
              <w:rPr>
                <w:rFonts w:ascii="宋体" w:hAnsi="宋体" w:cs="宋体"/>
                <w:color w:val="000000"/>
                <w:kern w:val="0"/>
                <w:sz w:val="20"/>
                <w:szCs w:val="20"/>
              </w:rPr>
              <w:t>复杂系统建模与仿真</w:t>
            </w:r>
          </w:p>
        </w:tc>
        <w:tc>
          <w:tcPr>
            <w:tcW w:w="6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color w:val="000000"/>
                <w:sz w:val="20"/>
                <w:szCs w:val="20"/>
              </w:rPr>
              <w:t>电</w:t>
            </w:r>
            <w:r>
              <w:rPr>
                <w:rFonts w:hint="eastAsia"/>
                <w:color w:val="000000"/>
                <w:sz w:val="20"/>
                <w:szCs w:val="20"/>
              </w:rPr>
              <w:t>子</w:t>
            </w:r>
            <w:r>
              <w:rPr>
                <w:color w:val="000000"/>
                <w:sz w:val="20"/>
                <w:szCs w:val="20"/>
              </w:rPr>
              <w:t>信</w:t>
            </w:r>
            <w:r>
              <w:rPr>
                <w:rFonts w:hint="eastAsia"/>
                <w:color w:val="000000"/>
                <w:sz w:val="20"/>
                <w:szCs w:val="20"/>
              </w:rPr>
              <w:t>息</w:t>
            </w:r>
            <w:r>
              <w:rPr>
                <w:color w:val="000000"/>
                <w:sz w:val="20"/>
                <w:szCs w:val="20"/>
              </w:rPr>
              <w:t>学院</w:t>
            </w:r>
          </w:p>
        </w:tc>
        <w:tc>
          <w:tcPr>
            <w:tcW w:w="769" w:type="dxa"/>
            <w:vMerge w:val="continue"/>
            <w:tcBorders>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0"/>
                <w:szCs w:val="20"/>
              </w:rPr>
            </w:pPr>
            <w:r>
              <w:rPr>
                <w:rFonts w:ascii="宋体" w:hAnsi="宋体" w:cs="宋体"/>
                <w:color w:val="000000"/>
                <w:kern w:val="0"/>
                <w:sz w:val="20"/>
                <w:szCs w:val="20"/>
              </w:rPr>
              <w:t>计算机信息处理与成像技术</w:t>
            </w:r>
          </w:p>
        </w:tc>
        <w:tc>
          <w:tcPr>
            <w:tcW w:w="6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color w:val="000000"/>
                <w:sz w:val="20"/>
                <w:szCs w:val="20"/>
              </w:rPr>
              <w:t>电</w:t>
            </w:r>
            <w:r>
              <w:rPr>
                <w:rFonts w:hint="eastAsia"/>
                <w:color w:val="000000"/>
                <w:sz w:val="20"/>
                <w:szCs w:val="20"/>
              </w:rPr>
              <w:t>子</w:t>
            </w:r>
            <w:r>
              <w:rPr>
                <w:color w:val="000000"/>
                <w:sz w:val="20"/>
                <w:szCs w:val="20"/>
              </w:rPr>
              <w:t>信</w:t>
            </w:r>
            <w:r>
              <w:rPr>
                <w:rFonts w:hint="eastAsia"/>
                <w:color w:val="000000"/>
                <w:sz w:val="20"/>
                <w:szCs w:val="20"/>
              </w:rPr>
              <w:t>息</w:t>
            </w:r>
            <w:r>
              <w:rPr>
                <w:color w:val="000000"/>
                <w:sz w:val="20"/>
                <w:szCs w:val="20"/>
              </w:rPr>
              <w:t>学院</w:t>
            </w:r>
          </w:p>
        </w:tc>
        <w:tc>
          <w:tcPr>
            <w:tcW w:w="769" w:type="dxa"/>
            <w:vMerge w:val="continue"/>
            <w:tcBorders>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0"/>
                <w:szCs w:val="20"/>
              </w:rPr>
            </w:pPr>
            <w:r>
              <w:rPr>
                <w:rFonts w:ascii="宋体" w:hAnsi="宋体" w:cs="宋体"/>
                <w:color w:val="000000"/>
                <w:kern w:val="0"/>
                <w:sz w:val="20"/>
                <w:szCs w:val="20"/>
              </w:rPr>
              <w:t>现代数字通信技术</w:t>
            </w:r>
          </w:p>
        </w:tc>
        <w:tc>
          <w:tcPr>
            <w:tcW w:w="6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color w:val="000000"/>
                <w:sz w:val="20"/>
                <w:szCs w:val="20"/>
              </w:rPr>
              <w:t>电</w:t>
            </w:r>
            <w:r>
              <w:rPr>
                <w:rFonts w:hint="eastAsia"/>
                <w:color w:val="000000"/>
                <w:sz w:val="20"/>
                <w:szCs w:val="20"/>
              </w:rPr>
              <w:t>子</w:t>
            </w:r>
            <w:r>
              <w:rPr>
                <w:color w:val="000000"/>
                <w:sz w:val="20"/>
                <w:szCs w:val="20"/>
              </w:rPr>
              <w:t>信</w:t>
            </w:r>
            <w:r>
              <w:rPr>
                <w:rFonts w:hint="eastAsia"/>
                <w:color w:val="000000"/>
                <w:sz w:val="20"/>
                <w:szCs w:val="20"/>
              </w:rPr>
              <w:t>息</w:t>
            </w:r>
            <w:r>
              <w:rPr>
                <w:color w:val="000000"/>
                <w:sz w:val="20"/>
                <w:szCs w:val="20"/>
              </w:rPr>
              <w:t>学院</w:t>
            </w:r>
          </w:p>
        </w:tc>
        <w:tc>
          <w:tcPr>
            <w:tcW w:w="769" w:type="dxa"/>
            <w:vMerge w:val="continue"/>
            <w:tcBorders>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0"/>
                <w:szCs w:val="20"/>
              </w:rPr>
            </w:pPr>
            <w:r>
              <w:rPr>
                <w:rFonts w:ascii="宋体" w:hAnsi="宋体" w:cs="宋体"/>
                <w:color w:val="000000"/>
                <w:kern w:val="0"/>
                <w:sz w:val="20"/>
                <w:szCs w:val="20"/>
              </w:rPr>
              <w:t>仪器科学与技术学科前沿</w:t>
            </w:r>
          </w:p>
        </w:tc>
        <w:tc>
          <w:tcPr>
            <w:tcW w:w="6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color w:val="000000"/>
                <w:sz w:val="20"/>
                <w:szCs w:val="20"/>
              </w:rPr>
              <w:t>电</w:t>
            </w:r>
            <w:r>
              <w:rPr>
                <w:rFonts w:hint="eastAsia"/>
                <w:color w:val="000000"/>
                <w:sz w:val="20"/>
                <w:szCs w:val="20"/>
              </w:rPr>
              <w:t>子</w:t>
            </w:r>
            <w:r>
              <w:rPr>
                <w:color w:val="000000"/>
                <w:sz w:val="20"/>
                <w:szCs w:val="20"/>
              </w:rPr>
              <w:t>信</w:t>
            </w:r>
            <w:r>
              <w:rPr>
                <w:rFonts w:hint="eastAsia"/>
                <w:color w:val="000000"/>
                <w:sz w:val="20"/>
                <w:szCs w:val="20"/>
              </w:rPr>
              <w:t>息</w:t>
            </w:r>
            <w:r>
              <w:rPr>
                <w:color w:val="000000"/>
                <w:sz w:val="20"/>
                <w:szCs w:val="20"/>
              </w:rPr>
              <w:t>学院</w:t>
            </w:r>
          </w:p>
        </w:tc>
        <w:tc>
          <w:tcPr>
            <w:tcW w:w="769" w:type="dxa"/>
            <w:vMerge w:val="continue"/>
            <w:tcBorders>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0"/>
                <w:szCs w:val="20"/>
              </w:rPr>
            </w:pPr>
            <w:r>
              <w:rPr>
                <w:rFonts w:ascii="宋体" w:hAnsi="宋体" w:cs="宋体"/>
                <w:color w:val="000000"/>
                <w:kern w:val="0"/>
                <w:sz w:val="20"/>
                <w:szCs w:val="20"/>
              </w:rPr>
              <w:t>地球探测与信息新技术专论</w:t>
            </w:r>
          </w:p>
        </w:tc>
        <w:tc>
          <w:tcPr>
            <w:tcW w:w="6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地球物理与石油资源学院</w:t>
            </w:r>
          </w:p>
        </w:tc>
        <w:tc>
          <w:tcPr>
            <w:tcW w:w="769" w:type="dxa"/>
            <w:vMerge w:val="continue"/>
            <w:tcBorders>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录井前沿技术</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计算机科学学院</w:t>
            </w:r>
          </w:p>
        </w:tc>
        <w:tc>
          <w:tcPr>
            <w:tcW w:w="769" w:type="dxa"/>
            <w:vMerge w:val="continue"/>
            <w:tcBorders>
              <w:left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ascii="宋体" w:hAnsi="宋体" w:cs="宋体"/>
                <w:color w:val="000000"/>
                <w:kern w:val="0"/>
                <w:sz w:val="20"/>
                <w:szCs w:val="20"/>
              </w:rPr>
              <w:t>复杂测井资料综合处理与解释</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地球物理与石油资源学院</w:t>
            </w:r>
          </w:p>
        </w:tc>
        <w:tc>
          <w:tcPr>
            <w:tcW w:w="769"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237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研究环节</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学术交流</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w:t>
            </w: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color w:val="000000"/>
                <w:sz w:val="20"/>
                <w:szCs w:val="20"/>
              </w:rPr>
              <w:t>电</w:t>
            </w:r>
            <w:r>
              <w:rPr>
                <w:rFonts w:hint="eastAsia"/>
                <w:color w:val="000000"/>
                <w:sz w:val="20"/>
                <w:szCs w:val="20"/>
              </w:rPr>
              <w:t>子</w:t>
            </w:r>
            <w:r>
              <w:rPr>
                <w:color w:val="000000"/>
                <w:sz w:val="20"/>
                <w:szCs w:val="20"/>
              </w:rPr>
              <w:t>信</w:t>
            </w:r>
            <w:r>
              <w:rPr>
                <w:rFonts w:hint="eastAsia"/>
                <w:color w:val="000000"/>
                <w:sz w:val="20"/>
                <w:szCs w:val="20"/>
              </w:rPr>
              <w:t>息</w:t>
            </w:r>
            <w:r>
              <w:rPr>
                <w:color w:val="000000"/>
                <w:sz w:val="20"/>
                <w:szCs w:val="20"/>
              </w:rPr>
              <w:t>学院</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9" w:hRule="atLeast"/>
        </w:trPr>
        <w:tc>
          <w:tcPr>
            <w:tcW w:w="23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开题报告</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rPr>
            </w:pPr>
            <w:r>
              <w:rPr>
                <w:rFonts w:hint="eastAsia"/>
                <w:color w:val="000000"/>
                <w:sz w:val="22"/>
              </w:rPr>
              <w:t>1</w:t>
            </w: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color w:val="000000"/>
                <w:sz w:val="20"/>
                <w:szCs w:val="20"/>
              </w:rPr>
              <w:t>电</w:t>
            </w:r>
            <w:r>
              <w:rPr>
                <w:rFonts w:hint="eastAsia"/>
                <w:color w:val="000000"/>
                <w:sz w:val="20"/>
                <w:szCs w:val="20"/>
              </w:rPr>
              <w:t>子</w:t>
            </w:r>
            <w:r>
              <w:rPr>
                <w:color w:val="000000"/>
                <w:sz w:val="20"/>
                <w:szCs w:val="20"/>
              </w:rPr>
              <w:t>信</w:t>
            </w:r>
            <w:r>
              <w:rPr>
                <w:rFonts w:hint="eastAsia"/>
                <w:color w:val="000000"/>
                <w:sz w:val="20"/>
                <w:szCs w:val="20"/>
              </w:rPr>
              <w:t>息</w:t>
            </w:r>
            <w:r>
              <w:rPr>
                <w:color w:val="000000"/>
                <w:sz w:val="20"/>
                <w:szCs w:val="20"/>
              </w:rPr>
              <w:t>学院</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99" w:hRule="atLeast"/>
        </w:trPr>
        <w:tc>
          <w:tcPr>
            <w:tcW w:w="23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论文中期进展报告</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rPr>
            </w:pPr>
            <w:r>
              <w:rPr>
                <w:rFonts w:hint="eastAsia"/>
                <w:color w:val="000000"/>
                <w:sz w:val="22"/>
              </w:rPr>
              <w:t>1</w:t>
            </w: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color w:val="000000"/>
                <w:sz w:val="20"/>
                <w:szCs w:val="20"/>
              </w:rPr>
              <w:t>电</w:t>
            </w:r>
            <w:r>
              <w:rPr>
                <w:rFonts w:hint="eastAsia"/>
                <w:color w:val="000000"/>
                <w:sz w:val="20"/>
                <w:szCs w:val="20"/>
              </w:rPr>
              <w:t>子</w:t>
            </w:r>
            <w:r>
              <w:rPr>
                <w:color w:val="000000"/>
                <w:sz w:val="20"/>
                <w:szCs w:val="20"/>
              </w:rPr>
              <w:t>信</w:t>
            </w:r>
            <w:r>
              <w:rPr>
                <w:rFonts w:hint="eastAsia"/>
                <w:color w:val="000000"/>
                <w:sz w:val="20"/>
                <w:szCs w:val="20"/>
              </w:rPr>
              <w:t>息</w:t>
            </w:r>
            <w:r>
              <w:rPr>
                <w:color w:val="000000"/>
                <w:sz w:val="20"/>
                <w:szCs w:val="20"/>
              </w:rPr>
              <w:t>学院</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99" w:hRule="atLeast"/>
        </w:trPr>
        <w:tc>
          <w:tcPr>
            <w:tcW w:w="23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学位论文</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rPr>
            </w:pPr>
            <w:r>
              <w:rPr>
                <w:rFonts w:hint="eastAsia"/>
                <w:color w:val="000000"/>
                <w:sz w:val="22"/>
              </w:rPr>
              <w:t>8</w:t>
            </w: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color w:val="000000"/>
                <w:sz w:val="20"/>
                <w:szCs w:val="20"/>
              </w:rPr>
              <w:t>电</w:t>
            </w:r>
            <w:r>
              <w:rPr>
                <w:rFonts w:hint="eastAsia"/>
                <w:color w:val="000000"/>
                <w:sz w:val="20"/>
                <w:szCs w:val="20"/>
              </w:rPr>
              <w:t>子</w:t>
            </w:r>
            <w:r>
              <w:rPr>
                <w:color w:val="000000"/>
                <w:sz w:val="20"/>
                <w:szCs w:val="20"/>
              </w:rPr>
              <w:t>信</w:t>
            </w:r>
            <w:r>
              <w:rPr>
                <w:rFonts w:hint="eastAsia"/>
                <w:color w:val="000000"/>
                <w:sz w:val="20"/>
                <w:szCs w:val="20"/>
              </w:rPr>
              <w:t>息</w:t>
            </w:r>
            <w:r>
              <w:rPr>
                <w:color w:val="000000"/>
                <w:sz w:val="20"/>
                <w:szCs w:val="20"/>
              </w:rPr>
              <w:t>学院</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99" w:hRule="atLeast"/>
        </w:trPr>
        <w:tc>
          <w:tcPr>
            <w:tcW w:w="23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总学分</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sz w:val="18"/>
                <w:szCs w:val="18"/>
              </w:rPr>
              <w:t>≧24学分</w:t>
            </w:r>
          </w:p>
        </w:tc>
      </w:tr>
    </w:tbl>
    <w:p/>
    <w:p>
      <w:pPr>
        <w:rPr>
          <w:rFonts w:ascii="仿宋" w:hAnsi="仿宋" w:eastAsia="仿宋" w:cs="仿宋"/>
          <w:szCs w:val="21"/>
        </w:rPr>
      </w:pPr>
      <w:r>
        <w:rPr>
          <w:rFonts w:hint="eastAsia"/>
        </w:rPr>
        <w:t>备注：总学分不得低于学校要求学分。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BF9D3"/>
    <w:multiLevelType w:val="singleLevel"/>
    <w:tmpl w:val="B26BF9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4EF9"/>
    <w:rsid w:val="000C4F0D"/>
    <w:rsid w:val="000E7424"/>
    <w:rsid w:val="00114EF9"/>
    <w:rsid w:val="001B7F05"/>
    <w:rsid w:val="004236A1"/>
    <w:rsid w:val="0046695C"/>
    <w:rsid w:val="00560EE2"/>
    <w:rsid w:val="007D3EBB"/>
    <w:rsid w:val="00904499"/>
    <w:rsid w:val="00B94CB4"/>
    <w:rsid w:val="00E03538"/>
    <w:rsid w:val="00F867BB"/>
    <w:rsid w:val="032864F9"/>
    <w:rsid w:val="0B861D19"/>
    <w:rsid w:val="0BFF17FD"/>
    <w:rsid w:val="0C6330AB"/>
    <w:rsid w:val="0DAF321D"/>
    <w:rsid w:val="0E4F00C7"/>
    <w:rsid w:val="108A1173"/>
    <w:rsid w:val="10BF132E"/>
    <w:rsid w:val="16315929"/>
    <w:rsid w:val="18B9121A"/>
    <w:rsid w:val="1A8373BC"/>
    <w:rsid w:val="1C2D4AF7"/>
    <w:rsid w:val="1C6821C3"/>
    <w:rsid w:val="1F3E048B"/>
    <w:rsid w:val="21D27AEE"/>
    <w:rsid w:val="231E422B"/>
    <w:rsid w:val="23E36536"/>
    <w:rsid w:val="276E003C"/>
    <w:rsid w:val="2AE27860"/>
    <w:rsid w:val="2B4A1524"/>
    <w:rsid w:val="2DC13499"/>
    <w:rsid w:val="2DCD1AE9"/>
    <w:rsid w:val="2E803E49"/>
    <w:rsid w:val="2F026C37"/>
    <w:rsid w:val="32C74310"/>
    <w:rsid w:val="336A51C5"/>
    <w:rsid w:val="33A371F2"/>
    <w:rsid w:val="34017670"/>
    <w:rsid w:val="453E7A9C"/>
    <w:rsid w:val="4A2546F1"/>
    <w:rsid w:val="4EFD0A5F"/>
    <w:rsid w:val="54D91E8B"/>
    <w:rsid w:val="591F4DCE"/>
    <w:rsid w:val="59AC6CCF"/>
    <w:rsid w:val="5A537644"/>
    <w:rsid w:val="5D7A74D8"/>
    <w:rsid w:val="5EDD501C"/>
    <w:rsid w:val="67923BE1"/>
    <w:rsid w:val="6C5466DD"/>
    <w:rsid w:val="6DE24B32"/>
    <w:rsid w:val="6E370695"/>
    <w:rsid w:val="6FA17500"/>
    <w:rsid w:val="718D44F0"/>
    <w:rsid w:val="750D157A"/>
    <w:rsid w:val="75103C58"/>
    <w:rsid w:val="78FD6E9D"/>
    <w:rsid w:val="7AB2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黑体" w:hAnsi="黑体" w:eastAsia="黑体"/>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2"/>
    <w:qFormat/>
    <w:uiPriority w:val="0"/>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Calibri" w:hAnsi="Calibri" w:eastAsia="宋体" w:cs="Times New Roman"/>
      <w:kern w:val="2"/>
      <w:sz w:val="18"/>
      <w:szCs w:val="18"/>
    </w:rPr>
  </w:style>
  <w:style w:type="character" w:customStyle="1" w:styleId="10">
    <w:name w:val="页脚 Char"/>
    <w:basedOn w:val="8"/>
    <w:link w:val="3"/>
    <w:qFormat/>
    <w:uiPriority w:val="0"/>
    <w:rPr>
      <w:rFonts w:ascii="Calibri" w:hAnsi="Calibri" w:eastAsia="宋体" w:cs="Times New Roman"/>
      <w:kern w:val="2"/>
      <w:sz w:val="18"/>
      <w:szCs w:val="18"/>
    </w:rPr>
  </w:style>
  <w:style w:type="paragraph" w:styleId="11">
    <w:name w:val="List Paragraph"/>
    <w:basedOn w:val="1"/>
    <w:qFormat/>
    <w:uiPriority w:val="34"/>
    <w:pPr>
      <w:adjustRightInd w:val="0"/>
      <w:spacing w:line="312" w:lineRule="atLeast"/>
      <w:ind w:firstLine="420" w:firstLineChars="200"/>
      <w:textAlignment w:val="baseline"/>
    </w:pPr>
    <w:rPr>
      <w:rFonts w:ascii="Times New Roman" w:hAnsi="Times New Roman"/>
      <w:kern w:val="0"/>
      <w:szCs w:val="20"/>
    </w:rPr>
  </w:style>
  <w:style w:type="character" w:customStyle="1" w:styleId="12">
    <w:name w:val="副标题 Char"/>
    <w:basedOn w:val="8"/>
    <w:link w:val="5"/>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287</Words>
  <Characters>1640</Characters>
  <Lines>13</Lines>
  <Paragraphs>3</Paragraphs>
  <TotalTime>1</TotalTime>
  <ScaleCrop>false</ScaleCrop>
  <LinksUpToDate>false</LinksUpToDate>
  <CharactersWithSpaces>1924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2020-04-16T11:56:00Z</dcterms:created>
  <dc:creator>Administrator</dc:creator>
  <cp:lastModifiedBy>Administrator</cp:lastModifiedBy>
  <dcterms:modified xsi:type="dcterms:W3CDTF">2020-08-09T01:44:58Z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